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67B" w:rsidRDefault="0024767B" w:rsidP="0024767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24767B" w:rsidRDefault="0024767B" w:rsidP="0024767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24767B" w:rsidRDefault="0024767B" w:rsidP="0024767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24767B" w:rsidRDefault="0024767B" w:rsidP="0024767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施行日期：2016-09-01</w:t>
      </w:r>
    </w:p>
    <w:p w:rsidR="005928AF" w:rsidRPr="0024767B" w:rsidRDefault="0024767B" w:rsidP="0024767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公布日期：2016-07-02</w:t>
      </w:r>
      <w:bookmarkStart w:id="0" w:name="_GoBack"/>
      <w:bookmarkEnd w:id="0"/>
    </w:p>
    <w:p w:rsidR="005928AF" w:rsidRDefault="005928AF">
      <w:pPr>
        <w:spacing w:line="560" w:lineRule="exact"/>
        <w:rPr>
          <w:rFonts w:cs="Arial"/>
          <w:kern w:val="0"/>
          <w:szCs w:val="32"/>
        </w:rPr>
      </w:pPr>
    </w:p>
    <w:p w:rsidR="005928AF" w:rsidRDefault="00C9130E">
      <w:pPr>
        <w:spacing w:line="560" w:lineRule="exact"/>
        <w:jc w:val="center"/>
        <w:rPr>
          <w:rFonts w:eastAsia="宋体" w:cs="宋体"/>
          <w:b/>
          <w:bCs/>
          <w:kern w:val="0"/>
          <w:sz w:val="44"/>
          <w:szCs w:val="44"/>
        </w:rPr>
      </w:pPr>
      <w:r>
        <w:rPr>
          <w:rFonts w:eastAsia="宋体" w:cs="宋体" w:hint="eastAsia"/>
          <w:kern w:val="0"/>
          <w:sz w:val="44"/>
          <w:szCs w:val="44"/>
        </w:rPr>
        <w:t>中华人民共和国航道法</w:t>
      </w:r>
    </w:p>
    <w:p w:rsidR="005928AF" w:rsidRDefault="005928AF">
      <w:pPr>
        <w:spacing w:line="560" w:lineRule="exact"/>
        <w:rPr>
          <w:rFonts w:eastAsia="宋体" w:cs="宋体"/>
          <w:kern w:val="0"/>
          <w:szCs w:val="32"/>
        </w:rPr>
      </w:pPr>
    </w:p>
    <w:p w:rsidR="005928AF" w:rsidRDefault="00C9130E">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2014</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日第十二届全国人民代表大会常务委员会第十二次会议通过　根据</w:t>
      </w:r>
      <w:r>
        <w:rPr>
          <w:rFonts w:eastAsia="楷体_GB2312" w:cs="楷体_GB2312" w:hint="eastAsia"/>
          <w:kern w:val="0"/>
          <w:szCs w:val="32"/>
        </w:rPr>
        <w:t>2016</w:t>
      </w:r>
      <w:r>
        <w:rPr>
          <w:rFonts w:eastAsia="楷体_GB2312" w:cs="楷体_GB2312" w:hint="eastAsia"/>
          <w:kern w:val="0"/>
          <w:szCs w:val="32"/>
        </w:rPr>
        <w:t>年</w:t>
      </w:r>
      <w:r>
        <w:rPr>
          <w:rFonts w:eastAsia="楷体_GB2312" w:cs="楷体_GB2312" w:hint="eastAsia"/>
          <w:kern w:val="0"/>
          <w:szCs w:val="32"/>
        </w:rPr>
        <w:t>7</w:t>
      </w:r>
      <w:r>
        <w:rPr>
          <w:rFonts w:eastAsia="楷体_GB2312" w:cs="楷体_GB2312" w:hint="eastAsia"/>
          <w:kern w:val="0"/>
          <w:szCs w:val="32"/>
        </w:rPr>
        <w:t>月</w:t>
      </w:r>
      <w:r>
        <w:rPr>
          <w:rFonts w:eastAsia="楷体_GB2312" w:cs="楷体_GB2312" w:hint="eastAsia"/>
          <w:kern w:val="0"/>
          <w:szCs w:val="32"/>
        </w:rPr>
        <w:t>2</w:t>
      </w:r>
      <w:r>
        <w:rPr>
          <w:rFonts w:eastAsia="楷体_GB2312" w:cs="楷体_GB2312" w:hint="eastAsia"/>
          <w:kern w:val="0"/>
          <w:szCs w:val="32"/>
        </w:rPr>
        <w:t>日第十二届全国人民代表大会常务委员会第二十一次会议《关于修改</w:t>
      </w:r>
      <w:r>
        <w:rPr>
          <w:rFonts w:eastAsia="楷体_GB2312" w:cs="楷体_GB2312" w:hint="eastAsia"/>
          <w:kern w:val="0"/>
          <w:szCs w:val="32"/>
        </w:rPr>
        <w:t>&lt;</w:t>
      </w:r>
      <w:r>
        <w:rPr>
          <w:rFonts w:eastAsia="楷体_GB2312" w:cs="楷体_GB2312" w:hint="eastAsia"/>
          <w:kern w:val="0"/>
          <w:szCs w:val="32"/>
        </w:rPr>
        <w:t>中华人民共和国节约能源法</w:t>
      </w:r>
      <w:r>
        <w:rPr>
          <w:rFonts w:eastAsia="楷体_GB2312" w:cs="楷体_GB2312" w:hint="eastAsia"/>
          <w:kern w:val="0"/>
          <w:szCs w:val="32"/>
        </w:rPr>
        <w:t>&gt;</w:t>
      </w:r>
      <w:r>
        <w:rPr>
          <w:rFonts w:eastAsia="楷体_GB2312" w:cs="楷体_GB2312" w:hint="eastAsia"/>
          <w:kern w:val="0"/>
          <w:szCs w:val="32"/>
        </w:rPr>
        <w:t>等六部法律的决定》修正）</w:t>
      </w:r>
    </w:p>
    <w:p w:rsidR="005928AF" w:rsidRDefault="005928AF">
      <w:pPr>
        <w:spacing w:line="560" w:lineRule="exact"/>
        <w:rPr>
          <w:rFonts w:cs="Arial"/>
          <w:kern w:val="0"/>
          <w:szCs w:val="32"/>
        </w:rPr>
      </w:pPr>
    </w:p>
    <w:p w:rsidR="005928AF" w:rsidRDefault="00C9130E">
      <w:pPr>
        <w:spacing w:line="560" w:lineRule="exact"/>
        <w:jc w:val="center"/>
        <w:rPr>
          <w:rFonts w:eastAsia="楷体_GB2312" w:cs="楷体_GB2312"/>
          <w:b/>
          <w:bCs/>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5928AF" w:rsidRDefault="00C9130E">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5928AF" w:rsidRDefault="00C9130E">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航道规划</w:t>
      </w:r>
    </w:p>
    <w:p w:rsidR="005928AF" w:rsidRDefault="00C9130E">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航道建设</w:t>
      </w:r>
    </w:p>
    <w:p w:rsidR="005928AF" w:rsidRDefault="00C9130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航道养护</w:t>
      </w:r>
    </w:p>
    <w:p w:rsidR="005928AF" w:rsidRDefault="00C9130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航道保护</w:t>
      </w:r>
    </w:p>
    <w:p w:rsidR="005928AF" w:rsidRDefault="00C9130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法律责任</w:t>
      </w:r>
    </w:p>
    <w:p w:rsidR="005928AF" w:rsidRDefault="00C9130E">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附则</w:t>
      </w:r>
    </w:p>
    <w:p w:rsidR="005928AF" w:rsidRDefault="005928AF">
      <w:pPr>
        <w:spacing w:line="560" w:lineRule="exact"/>
        <w:rPr>
          <w:rFonts w:cs="Arial"/>
          <w:kern w:val="0"/>
          <w:szCs w:val="32"/>
        </w:rPr>
      </w:pPr>
    </w:p>
    <w:p w:rsidR="005928AF" w:rsidRDefault="00C9130E">
      <w:pPr>
        <w:spacing w:line="560" w:lineRule="exact"/>
        <w:jc w:val="center"/>
        <w:rPr>
          <w:rFonts w:eastAsia="黑体" w:cs="黑体"/>
          <w:kern w:val="0"/>
          <w:szCs w:val="32"/>
        </w:rPr>
      </w:pPr>
      <w:r>
        <w:rPr>
          <w:rFonts w:eastAsia="黑体" w:cs="黑体" w:hint="eastAsia"/>
          <w:kern w:val="0"/>
          <w:szCs w:val="32"/>
        </w:rPr>
        <w:lastRenderedPageBreak/>
        <w:t>第一章　总则</w:t>
      </w:r>
    </w:p>
    <w:p w:rsidR="005928AF" w:rsidRDefault="005928AF">
      <w:pPr>
        <w:spacing w:line="560" w:lineRule="exact"/>
        <w:rPr>
          <w:rFonts w:eastAsia="宋体" w:cs="宋体"/>
          <w:kern w:val="0"/>
          <w:szCs w:val="32"/>
        </w:rPr>
      </w:pP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为了规范和加强航道的规划、建设、养护、保护，保障航道畅通和通航安全，促进水路运输发展，制定本法。</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本法所称航道，是指中华人民共和国领域内的江河、湖泊等内陆水域中可以供船舶通航的通道，以及内海、领海中经建设、养护可以供船舶通航的通道。航道包括通航建筑物、航道整治建筑物和航标等航道设施。</w:t>
      </w:r>
    </w:p>
    <w:p w:rsidR="005928AF" w:rsidRDefault="00C9130E">
      <w:pPr>
        <w:spacing w:line="560" w:lineRule="exact"/>
        <w:rPr>
          <w:rFonts w:eastAsia="黑体" w:cs="黑体"/>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规划、建设、养护、保护航道，应当根据经济社会发展和国防建设的需要，遵循综合利用和保护水资源、保护生态环境的原则，服从综合交通运输体系建设和防洪总体安排，统筹兼顾供水、灌溉、发电、渔业等需求，发挥水资源</w:t>
      </w:r>
      <w:r>
        <w:rPr>
          <w:rFonts w:cs="Arial" w:hint="eastAsia"/>
          <w:kern w:val="0"/>
          <w:szCs w:val="32"/>
        </w:rPr>
        <w:t>的综合效益。</w:t>
      </w:r>
    </w:p>
    <w:p w:rsidR="005928AF" w:rsidRDefault="00C9130E">
      <w:pPr>
        <w:spacing w:line="560" w:lineRule="exact"/>
        <w:rPr>
          <w:rFonts w:cs="Arial"/>
          <w:kern w:val="0"/>
          <w:szCs w:val="32"/>
        </w:rPr>
      </w:pPr>
      <w:r>
        <w:rPr>
          <w:rFonts w:eastAsia="黑体" w:cs="黑体" w:hint="eastAsia"/>
          <w:kern w:val="0"/>
          <w:szCs w:val="32"/>
        </w:rPr>
        <w:t xml:space="preserve">　　第</w:t>
      </w:r>
      <w:r>
        <w:rPr>
          <w:rFonts w:eastAsia="黑体" w:cs="黑体" w:hint="eastAsia"/>
          <w:kern w:val="0"/>
          <w:szCs w:val="32"/>
        </w:rPr>
        <w:t>四条</w:t>
      </w:r>
      <w:r>
        <w:rPr>
          <w:rFonts w:cs="Arial" w:hint="eastAsia"/>
          <w:kern w:val="0"/>
          <w:szCs w:val="32"/>
        </w:rPr>
        <w:t xml:space="preserve">　国务院和有关县级以上地方人民政府应当加强对航道工作的领导，组织、协调、督促有关部门采取措施，保持和改善航道通航条件，保护航道安全，维护航道网络完整和畅通。</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国务院和有关县级以上地方人民政府应当根据经济社会发展水平和航道建设、养护的需要，在财政预算中合理安排航道建设和养护资金。</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国务院交通运输主管部门主管全国航道管理工作，并按照国务院的规定直接管理跨省、自治区、直辖市的重要干线航道和国际、国境河流航道等重要航道。</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县级以上地方人民政府交通运输主管部门按照省、自治区、</w:t>
      </w:r>
      <w:r>
        <w:rPr>
          <w:rFonts w:cs="Arial" w:hint="eastAsia"/>
          <w:kern w:val="0"/>
          <w:szCs w:val="32"/>
        </w:rPr>
        <w:lastRenderedPageBreak/>
        <w:t>直辖市人民政府的规定主管所辖航道的管理工作。</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国务院交通运输主管部门按照国务院规定设置的负责航道管理的机构和县级以上地方人民政府负责航道管理的部门或者机构（以下统称负责航道管理的部门），承担本法规定的航道管理工作。</w:t>
      </w:r>
    </w:p>
    <w:p w:rsidR="005928AF" w:rsidRDefault="005928AF">
      <w:pPr>
        <w:spacing w:line="560" w:lineRule="exact"/>
        <w:rPr>
          <w:rFonts w:eastAsia="宋体" w:cs="宋体"/>
          <w:kern w:val="0"/>
          <w:szCs w:val="32"/>
        </w:rPr>
      </w:pPr>
    </w:p>
    <w:p w:rsidR="005928AF" w:rsidRDefault="00C9130E">
      <w:pPr>
        <w:spacing w:line="560" w:lineRule="exact"/>
        <w:jc w:val="center"/>
        <w:rPr>
          <w:rFonts w:eastAsia="黑体" w:cs="黑体"/>
          <w:kern w:val="0"/>
          <w:szCs w:val="32"/>
        </w:rPr>
      </w:pPr>
      <w:r>
        <w:rPr>
          <w:rFonts w:eastAsia="黑体" w:cs="黑体" w:hint="eastAsia"/>
          <w:kern w:val="0"/>
          <w:szCs w:val="32"/>
        </w:rPr>
        <w:t>第二章　航道规划</w:t>
      </w:r>
    </w:p>
    <w:p w:rsidR="005928AF" w:rsidRDefault="005928AF">
      <w:pPr>
        <w:spacing w:line="560" w:lineRule="exact"/>
        <w:rPr>
          <w:rFonts w:eastAsia="宋体" w:cs="宋体"/>
          <w:kern w:val="0"/>
          <w:szCs w:val="32"/>
        </w:rPr>
      </w:pP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航道规划分为全国航道规划、流域航道规划、区域航道规划和省、自治区、直辖市航道规划。</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航道规划应当包括航道的功能定位、规划目标、发展规划技术等级、规划实施步骤以及保障措施等内容。</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航道规划应当符合依法制定的流域、区域综合规划，符合水资源规划、防洪规划和海洋功能区划，并与涉及水资源综合利用的相关专业规划以及依法制定的城乡规划、环境保护规划等其他相关规划和军事设施保护区划相协调。</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航道应当划分技术等级。航道技术等级包括现状技术等级和发展规划技术等级。航道发展规划技术等级根据相关自然条件以及防洪、供水、水资源保护、生态环境保护要求和航运发展需求等因素评定。</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全国航道规划由国务院交通运输主管部门会同国务院发展改革部门、国务院水行政主管部门等部门编制，报国务</w:t>
      </w:r>
      <w:r>
        <w:rPr>
          <w:rFonts w:cs="Arial" w:hint="eastAsia"/>
          <w:kern w:val="0"/>
          <w:szCs w:val="32"/>
        </w:rPr>
        <w:lastRenderedPageBreak/>
        <w:t>院批准公布。</w:t>
      </w:r>
      <w:r>
        <w:rPr>
          <w:rFonts w:cs="Arial" w:hint="eastAsia"/>
          <w:kern w:val="0"/>
          <w:szCs w:val="32"/>
        </w:rPr>
        <w:t>流域航道规划、区域航道规划由国务院交通运输主管部门编制并公布。</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省、自治区、直辖市航道规划由省、自治区、直辖市人民政府交通运输主管部门会同同级发展改革部门、水行政主管部门等部门编制，报省、自治区、直辖市人民政府会同国务院交通运输主管部门批准公布。</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编制航道规划应当征求有关部门和有关军事机关的意见，并依法进行环境影响评价。涉及海域、重要渔业水域的，应当有同级海洋主管部门、渔业行政主管部门参加。编制全国航道规划和流域航道规划、区域航道规划应当征求相关省、自治区、直辖市人民政府的意见。</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流域航道规划、</w:t>
      </w:r>
      <w:r>
        <w:rPr>
          <w:rFonts w:cs="Arial" w:hint="eastAsia"/>
          <w:kern w:val="0"/>
          <w:szCs w:val="32"/>
        </w:rPr>
        <w:t>区域航道规划和省、自治区、直辖市航道规划应当符合全国航道规划。</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依法制定并公布的航道规划应当依照执行；航道规划确需修改的，依照规划编制程序办理。</w:t>
      </w:r>
    </w:p>
    <w:p w:rsidR="005928AF" w:rsidRDefault="005928AF">
      <w:pPr>
        <w:spacing w:line="560" w:lineRule="exact"/>
        <w:rPr>
          <w:rFonts w:eastAsia="宋体" w:cs="宋体"/>
          <w:kern w:val="0"/>
          <w:szCs w:val="32"/>
        </w:rPr>
      </w:pPr>
    </w:p>
    <w:p w:rsidR="005928AF" w:rsidRDefault="00C9130E">
      <w:pPr>
        <w:spacing w:line="560" w:lineRule="exact"/>
        <w:jc w:val="center"/>
        <w:rPr>
          <w:rFonts w:eastAsia="黑体" w:cs="黑体"/>
          <w:kern w:val="0"/>
          <w:szCs w:val="32"/>
        </w:rPr>
      </w:pPr>
      <w:r>
        <w:rPr>
          <w:rFonts w:eastAsia="黑体" w:cs="黑体" w:hint="eastAsia"/>
          <w:kern w:val="0"/>
          <w:szCs w:val="32"/>
        </w:rPr>
        <w:t>第三章　航道建设</w:t>
      </w:r>
    </w:p>
    <w:p w:rsidR="005928AF" w:rsidRDefault="005928AF">
      <w:pPr>
        <w:spacing w:line="560" w:lineRule="exact"/>
        <w:rPr>
          <w:rFonts w:eastAsia="宋体" w:cs="宋体"/>
          <w:kern w:val="0"/>
          <w:szCs w:val="32"/>
        </w:rPr>
      </w:pP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新建航道以及为改善航道通航条件而进行的航道工程建设，应当遵守法律、行政法规关于建设工程质量管理、安全管理和生态环境保护的规定，符合航道规划，执行有关的国家标准、行业标准和技术规范，依法办理相关手续。</w:t>
      </w:r>
    </w:p>
    <w:p w:rsidR="005928AF" w:rsidRDefault="00C9130E">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航道建设单位应当根据航道建设工程的技术要求，依法通过招标等方式选择具有相应资质的勘察、设计、施工和监理单位进行工程建设，对工程质量和安全进行监督检查，并对工程质量和安全负责。</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从事航道工程建设的勘察、设计、施工和监理单位，应当依照法律、行政法规的规定取得相应的资质，并在其资质等级许可的范围内从事航道工程建设活动，依法对勘察、设计、施工、监理的质量和安全负责。</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有关县级以上人民政府交通运输主管部门应当加强对航道建设工程质量和安全的监督检查，保障航道建设工程的质量和安全。</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航道</w:t>
      </w:r>
      <w:r>
        <w:rPr>
          <w:rFonts w:cs="Arial" w:hint="eastAsia"/>
          <w:kern w:val="0"/>
          <w:szCs w:val="32"/>
        </w:rPr>
        <w:t>建设工程竣工后，应当按照国家有关规定组织竣工验收，经验收合格方可正式投入使用。</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航道建设单位应当自航道建设工程竣工验收合格之日起六十日内，将竣工测量图报送负责航道管理的部门。沿海航道的竣工测量图还应当报送海军航海保证部门。</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进行航道工程建设应当维护河势稳定，符合防洪要求，不得危及依法建设的其他工程或者设施的安全。因航道工程建设损坏依法建设的其他工程或者设施的，航道建设单位应当予以修复或者依法赔偿。</w:t>
      </w:r>
    </w:p>
    <w:p w:rsidR="005928AF" w:rsidRDefault="005928AF">
      <w:pPr>
        <w:spacing w:line="560" w:lineRule="exact"/>
        <w:rPr>
          <w:rFonts w:eastAsia="宋体" w:cs="宋体"/>
          <w:kern w:val="0"/>
          <w:szCs w:val="32"/>
        </w:rPr>
      </w:pPr>
    </w:p>
    <w:p w:rsidR="005928AF" w:rsidRDefault="00C9130E">
      <w:pPr>
        <w:spacing w:line="560" w:lineRule="exact"/>
        <w:jc w:val="center"/>
        <w:rPr>
          <w:rFonts w:eastAsia="黑体" w:cs="黑体"/>
          <w:kern w:val="0"/>
          <w:szCs w:val="32"/>
        </w:rPr>
      </w:pPr>
      <w:r>
        <w:rPr>
          <w:rFonts w:eastAsia="黑体" w:cs="黑体" w:hint="eastAsia"/>
          <w:kern w:val="0"/>
          <w:szCs w:val="32"/>
        </w:rPr>
        <w:t>第四章　航道养护</w:t>
      </w:r>
    </w:p>
    <w:p w:rsidR="005928AF" w:rsidRDefault="005928AF">
      <w:pPr>
        <w:spacing w:line="560" w:lineRule="exact"/>
        <w:rPr>
          <w:rFonts w:eastAsia="宋体" w:cs="宋体"/>
          <w:kern w:val="0"/>
          <w:szCs w:val="32"/>
        </w:rPr>
      </w:pP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国务院交通运输主管部门应当制定航道养护技术规范。</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负</w:t>
      </w:r>
      <w:r>
        <w:rPr>
          <w:rFonts w:cs="Arial" w:hint="eastAsia"/>
          <w:kern w:val="0"/>
          <w:szCs w:val="32"/>
        </w:rPr>
        <w:t>责航道管理的部门应当按照航道养护技术规范进行航道养护，保证航道处于良好通航技术状态。</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负责航道管理的部门应当根据航道现状技术等级或者航道自然条件确定并公布航道维护尺度和内河航道图。</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航道维护尺度是指航道在不同水位期应当保持的水深、宽度、弯曲半径等技术要求。</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负责航道管理的部门应当按照国务院交通运输主管部门的规定对航道进行巡查，发现航道实际尺度达不到航道维护尺度或者有其他不符合保证船舶通航安全要求的情形，应当进行维护，及时发布航道通告并通报海事管理机构。</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海事管理机构发现航道损毁等危及通航安全的情形，应当及时通报负责航道管理的部门，并采取必要的安全保障措施。</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其他单位和人员发现航道损毁等危及通航安全的情形，应当及时报告负责航道管理的部门或者海事管理机构。</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负责航道管理的部门应当合理安排航道养护作业，避免限制通航的集中作业和在通航高峰期作业。</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负责航道管理的部门进行航道疏浚、清障等影响通航的航道养护活动，或者确需限制通航的养护作业的，应当设置明显的作</w:t>
      </w:r>
      <w:r>
        <w:rPr>
          <w:rFonts w:cs="Arial" w:hint="eastAsia"/>
          <w:kern w:val="0"/>
          <w:szCs w:val="32"/>
        </w:rPr>
        <w:lastRenderedPageBreak/>
        <w:t>业标志，采取必要的安全措施，并提前通报海事管理机构，保证过往船舶通行以及依法建设的工程设施的安全。养护作业结束后，应当及时清除影响航道通航条件的作业标志及其他残留物，恢复正常通航。</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进行航道养护作业可能造成航道堵塞的，有关负责航道管理的部门应当会同海事管理机构事先通报相关区域负责航道管理的部门和海事管理机构，共同制定船舶疏导方案，并向社会公告。</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因自然灾害、事故灾难等突发</w:t>
      </w:r>
      <w:r>
        <w:rPr>
          <w:rFonts w:cs="Arial" w:hint="eastAsia"/>
          <w:kern w:val="0"/>
          <w:szCs w:val="32"/>
        </w:rPr>
        <w:t>事件造成航道损坏、阻塞的，负责航道管理的部门应当按照突发事件应急预案尽快修复抢通；必要时由县级以上人民政府组织尽快修复抢通。</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船舶、设施或者其他物体在航道水域中沉没，影响航道畅通和通航安全的，其所有人或者经营人应当立即报告负责航道管理的部门和海事管理机构，按照规定自行或者委托负责航道管理的部门或者海事管理机构代为设置标志，并应当在海事管理机构限定的时间内打捞清除。</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航标的设置、养护、保护和管理，依照有关法律、行政法规和国家标准或者行业标准的规定执行。</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部队执行任务、战备训</w:t>
      </w:r>
      <w:r>
        <w:rPr>
          <w:rFonts w:cs="Arial" w:hint="eastAsia"/>
          <w:kern w:val="0"/>
          <w:szCs w:val="32"/>
        </w:rPr>
        <w:t>练需要使用航道的，负责航道管理的部门应当给予必要的支持和协助。</w:t>
      </w:r>
    </w:p>
    <w:p w:rsidR="005928AF" w:rsidRDefault="005928AF">
      <w:pPr>
        <w:spacing w:line="560" w:lineRule="exact"/>
        <w:rPr>
          <w:rFonts w:eastAsia="宋体" w:cs="宋体"/>
          <w:kern w:val="0"/>
          <w:szCs w:val="32"/>
        </w:rPr>
      </w:pPr>
    </w:p>
    <w:p w:rsidR="005928AF" w:rsidRDefault="00C9130E">
      <w:pPr>
        <w:spacing w:line="560" w:lineRule="exact"/>
        <w:jc w:val="center"/>
        <w:rPr>
          <w:rFonts w:eastAsia="黑体" w:cs="黑体"/>
          <w:kern w:val="0"/>
          <w:szCs w:val="32"/>
        </w:rPr>
      </w:pPr>
      <w:r>
        <w:rPr>
          <w:rFonts w:eastAsia="黑体" w:cs="黑体" w:hint="eastAsia"/>
          <w:kern w:val="0"/>
          <w:szCs w:val="32"/>
        </w:rPr>
        <w:t>第五章　航道保护</w:t>
      </w:r>
    </w:p>
    <w:p w:rsidR="005928AF" w:rsidRDefault="005928AF">
      <w:pPr>
        <w:spacing w:line="560" w:lineRule="exact"/>
        <w:rPr>
          <w:rFonts w:eastAsia="宋体" w:cs="宋体"/>
          <w:kern w:val="0"/>
          <w:szCs w:val="32"/>
        </w:rPr>
      </w:pP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新建、改建、扩建（以下统称建设）跨越、穿越航道的桥梁、隧道、管道、缆线等建筑物、构筑物，应当符合该航道发展规划技术等级对通航净高、净宽、埋设深度等航道通航条件的要求。</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在通航河流上建设永久性拦河闸坝，建设单位应当按照航道发展规划技术等级建设通航建筑物。通航建筑物应当与主体工程同步规划、同步设计、同步建设、同步验收、同步投入使用。</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闸坝建设期间难以维持航道原有通航能力的，建设单位应当采取修</w:t>
      </w:r>
      <w:r>
        <w:rPr>
          <w:rFonts w:cs="Arial" w:hint="eastAsia"/>
          <w:kern w:val="0"/>
          <w:szCs w:val="32"/>
        </w:rPr>
        <w:t>建临时航道、安排翻坝转运等补救措施，所需费用由建设单位承担。</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在不通航河流上建设闸坝后可以通航的，闸坝建设单位应当同步建设通航建筑物或者预留通航建筑物位置，通航建筑物建设费用除国家另有规定外，由交通运输主管部门承担。</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通航建筑物的运行应当适应船舶通行需要，运行方案应当经负责航道管理的部门同意并公布。通航建筑物的建设单位或者管理单位应当按照规定维护保养通航建筑物，保持其正常运行。</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在航道保护范围内建设临河、临湖、临海建筑物或者构筑物，应当符合该航道通航条件的要求。</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航道保护范围由县</w:t>
      </w:r>
      <w:r>
        <w:rPr>
          <w:rFonts w:cs="Arial" w:hint="eastAsia"/>
          <w:kern w:val="0"/>
          <w:szCs w:val="32"/>
        </w:rPr>
        <w:t>级以上地方人民政府交通运输主管部门会同水行政主管部门或者流域管理机构、国土资源主管部门根据</w:t>
      </w:r>
      <w:r>
        <w:rPr>
          <w:rFonts w:cs="Arial" w:hint="eastAsia"/>
          <w:kern w:val="0"/>
          <w:szCs w:val="32"/>
        </w:rPr>
        <w:lastRenderedPageBreak/>
        <w:t>航道发展规划技术等级和航道保护实际需要划定，报本级人民政府批准公布。国务院交通运输主管部门直接管理的航道的航道保护范围，由国务院交通运输主管部门会同国务院水行政主管部门、国务院国土资源主管部门和有关省、自治区、直辖市人民政府划定公布。航道保护范围涉及海域、重要渔业水域的，还应当分别会同同级海洋主管部门、渔业行政主管部门划定。</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建设本法第二十四条、第二十五条第一款、第二十六条第一款规定的工程（以下统称与航道有关的工程），除依照法律、行政法规或者国务院规定进行的防洪、供水等特殊工程外，不得因工程建设降低航道通航条件。</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建设与航道有关的工程，建设单位应当在工程可行性研究阶段就建设项目对航道通航条件的影响作出评价，并报送有审核权的交通运输主管部门或者航道管理机构审核，但下列工程除外</w:t>
      </w:r>
      <w:r>
        <w:rPr>
          <w:rFonts w:cs="Arial" w:hint="eastAsia"/>
          <w:kern w:val="0"/>
          <w:szCs w:val="32"/>
        </w:rPr>
        <w:t>:</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（一）临河、临湖的中小河流治理工程；</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（二）不通航河流上建设的水工程；</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（三）现有水工程的水毁修复、除险加固、不涉及通航建筑</w:t>
      </w:r>
      <w:r>
        <w:rPr>
          <w:rFonts w:cs="Arial" w:hint="eastAsia"/>
          <w:kern w:val="0"/>
          <w:szCs w:val="32"/>
        </w:rPr>
        <w:t>物和不改变航道原通航条件的更新改造等不影响航道通航条件的工程。</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建设单位报送的航道通航条件影响评价材料不符合本法规定的，可以进行补充或者修改，重新报送审核部门审核。</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未进行航道通航条件影响评价或者经审核部门审核认为建</w:t>
      </w:r>
      <w:r>
        <w:rPr>
          <w:rFonts w:cs="Arial" w:hint="eastAsia"/>
          <w:kern w:val="0"/>
          <w:szCs w:val="32"/>
        </w:rPr>
        <w:lastRenderedPageBreak/>
        <w:t>设项目不符合本法规定的，建设单位不得建设。政府投资项目未进行航道通航条件影响评价或者经审核部门审核认为建设项目不符合本法规定的，负责建设项目审批的部门不予批准。</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国务院或者国务院有关部门批准、核准的建设项目，以及与国务院交通运输主管部门直接管理的航道有关的建设项目的航道通</w:t>
      </w:r>
      <w:r>
        <w:rPr>
          <w:rFonts w:cs="Arial" w:hint="eastAsia"/>
          <w:kern w:val="0"/>
          <w:szCs w:val="32"/>
        </w:rPr>
        <w:t>航条件影响评价，由国务院交通运输主管部门审核；其他建设项目的航道通航条件影响评价，按照省、自治区、直辖市人民政府的规定由县级以上地方人民政府交通运输主管部门或者航道管理机构审核。</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航道上相邻拦河闸坝之间的航道通航水位衔接，应当符合国家规定的通航标准和技术要求。位于航道及其上游支流上的水工程，应当在设计、施工和调度运行中统筹考虑下游航道设计最低通航水位所需的下泄流量，但水文条件超出实际标准的除外。</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保障下游航道通航所需的最小下泄流量以及满足航道通航条件允许的水位变化的确定，应当征求负责航道管理的部门的意见。</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水工程需大幅度减流或者大流量泄水的，应当提前通报负责航道管理的部门和海事管理机构，给船舶避让留出合理的时间。</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与航道有关的工程施工影响航道正常功能的，负责航道管理的部门、海事管理机构应当根据需要对航标或者航道的位置、走向进行临时调整；影响消除后应当及时恢复。所需</w:t>
      </w:r>
      <w:r>
        <w:rPr>
          <w:rFonts w:cs="Arial" w:hint="eastAsia"/>
          <w:kern w:val="0"/>
          <w:szCs w:val="32"/>
        </w:rPr>
        <w:lastRenderedPageBreak/>
        <w:t>费用由建设单位承担，但因防洪抢险工程引起调整的除外。</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与航道有关的工程竣工验收前，建设单位应当及时清除</w:t>
      </w:r>
      <w:r>
        <w:rPr>
          <w:rFonts w:cs="Arial" w:hint="eastAsia"/>
          <w:kern w:val="0"/>
          <w:szCs w:val="32"/>
        </w:rPr>
        <w:t>影响航道通航条件的临时设施及其残留物。</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与航道有关的工程建设活动不得危及航道安全。</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与航道有关的工程建设活动损坏航道的，建设单位应当予以修复或者依法赔偿。</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在通航水域上建设桥梁等建筑物，建设单位应当按照国家有关规定和技术要求设置航标等设施，并承担相应费用。</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桥区水上航标由负责航道管理的部门、海事管理机构负责管理维护。</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禁止下列危害航道通航安全的行为</w:t>
      </w:r>
      <w:r>
        <w:rPr>
          <w:rFonts w:cs="Arial" w:hint="eastAsia"/>
          <w:kern w:val="0"/>
          <w:szCs w:val="32"/>
        </w:rPr>
        <w:t>:</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（一）在航道内设置渔具或者水产养殖设施的；</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（二）在航道和航道保护范围内倾倒砂石、泥土、垃圾以及其他废弃物的；</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（三）在通航建筑物及其引航道和船舶调度区内从事货物装卸、水上加油、船舶维修、捕鱼等，影响通航建筑物正常运行的；</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（四）危害航道设施安全的；</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（五）其他危害航道通航安全的行为。</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在河道内采砂，应当依照有关法律、行政法规的规定进行。禁止在河道内依法划定的砂石禁采区采砂、无证采</w:t>
      </w:r>
      <w:r>
        <w:rPr>
          <w:rFonts w:cs="Arial" w:hint="eastAsia"/>
          <w:kern w:val="0"/>
          <w:szCs w:val="32"/>
        </w:rPr>
        <w:lastRenderedPageBreak/>
        <w:t>砂、未按批准的范围和作业方式采砂等非法采砂行为。</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在航道和航道保护范围内采砂，不得损害航道通航条件。</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本法施行前建设的拦河闸</w:t>
      </w:r>
      <w:r>
        <w:rPr>
          <w:rFonts w:cs="Arial" w:hint="eastAsia"/>
          <w:kern w:val="0"/>
          <w:szCs w:val="32"/>
        </w:rPr>
        <w:t>坝造成通航河流断航，需要恢复通航且具备建设通航建筑物条件的，由发展改革部门会同水行政主管部门、交通运输主管部门提出恢复通航方案，报本级人民政府决定。</w:t>
      </w:r>
    </w:p>
    <w:p w:rsidR="005928AF" w:rsidRDefault="005928AF">
      <w:pPr>
        <w:spacing w:line="560" w:lineRule="exact"/>
        <w:rPr>
          <w:rFonts w:eastAsia="宋体" w:cs="宋体"/>
          <w:kern w:val="0"/>
          <w:szCs w:val="32"/>
        </w:rPr>
      </w:pPr>
    </w:p>
    <w:p w:rsidR="005928AF" w:rsidRDefault="00C9130E">
      <w:pPr>
        <w:spacing w:line="560" w:lineRule="exact"/>
        <w:jc w:val="center"/>
        <w:rPr>
          <w:rFonts w:eastAsia="黑体" w:cs="黑体"/>
          <w:kern w:val="0"/>
          <w:szCs w:val="32"/>
        </w:rPr>
      </w:pPr>
      <w:r>
        <w:rPr>
          <w:rFonts w:eastAsia="黑体" w:cs="黑体" w:hint="eastAsia"/>
          <w:kern w:val="0"/>
          <w:szCs w:val="32"/>
        </w:rPr>
        <w:t>第六章　法律责任</w:t>
      </w:r>
    </w:p>
    <w:p w:rsidR="005928AF" w:rsidRDefault="005928AF">
      <w:pPr>
        <w:spacing w:line="560" w:lineRule="exact"/>
        <w:rPr>
          <w:rFonts w:eastAsia="宋体" w:cs="宋体"/>
          <w:kern w:val="0"/>
          <w:szCs w:val="32"/>
        </w:rPr>
      </w:pP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航道建设、勘察、设计、施工、监理单位在航道建设活动中违反本法规定的，由县级以上人民政府交通运输主管部门依照有关招标投标和工程建设管理的法律、行政法规的规定处罚。</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建设单位未依法报送航道通航条件影响评价材料而开工建设的，由有审核权的交通运输主管部门或者航道管理机构责令停止建设，限期补办手续，处三万元以下的罚款</w:t>
      </w:r>
      <w:r>
        <w:rPr>
          <w:rFonts w:cs="Arial" w:hint="eastAsia"/>
          <w:kern w:val="0"/>
          <w:szCs w:val="32"/>
        </w:rPr>
        <w:t>；逾期不补办手续继续建设的，由有审核权的交通运输主管部门或者航道管理机构责令恢复原状，处二十万元以上五十万元以下的罚款。</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报送的航道通航条件影响评价材料未通过审核，建设单位开工建设的，由有审核权的交通运输主管部门或者航道管理机构责令停止建设、恢复原状，处二十万元以上五十万元以下的罚款。</w:t>
      </w:r>
    </w:p>
    <w:p w:rsidR="005928AF" w:rsidRDefault="00C9130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w:t>
      </w:r>
      <w:r>
        <w:rPr>
          <w:rFonts w:cs="Arial" w:hint="eastAsia"/>
          <w:kern w:val="0"/>
          <w:szCs w:val="32"/>
        </w:rPr>
        <w:t>补救措施或者依法组织拆除，所需费用由建设单位承担。</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在通航水域上建设桥梁等建筑物，建设单位未按照规定设置航标等设施的，由负责航道管理的部门或者海事管理机构责令改正，处五万元以下罚款。</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违反本法规定，有下列行为之一的，由负责航道管理的部门责令改正，对单位处五万元以下罚款，对个人处二千元以下罚款；造成损失的，依法承担赔偿责任</w:t>
      </w:r>
      <w:r>
        <w:rPr>
          <w:rFonts w:cs="Arial" w:hint="eastAsia"/>
          <w:kern w:val="0"/>
          <w:szCs w:val="32"/>
        </w:rPr>
        <w:t>:</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（一）在航道内设置渔具或者水产养殖设施的；</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（二）在航道和航道保护范围内倾倒砂石、泥土、垃圾以及其他废弃物的；</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（三）在通航建筑物及其引航道和船舶调度区内从事货物装卸、水上加油、船舶维修、捕鱼等，影响通航建筑物正常运行的；</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（四）危害航道设施安全的；</w:t>
      </w:r>
    </w:p>
    <w:p w:rsidR="005928AF" w:rsidRDefault="00C9130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（五）其他危害航道通航安全的行为。</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在河道内依法划定的砂石禁采区采砂、无证采砂、未按批准的范围和作业方式采砂等非法采砂的，依照有关法律、行政法规的规定处罚。</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违反法律规定，污染环境、破坏生态或者有其他环境违法行为的，依照《中华人民共和国环境保护法》等法律的规定处罚。</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交通运输主管部门以及其他有关部门不</w:t>
      </w:r>
      <w:r>
        <w:rPr>
          <w:rFonts w:cs="Arial" w:hint="eastAsia"/>
          <w:kern w:val="0"/>
          <w:szCs w:val="32"/>
        </w:rPr>
        <w:t>依法履行本法规定的职责的，对直接负责的主管人员和其他直接责任人员依法给予处分。</w:t>
      </w:r>
    </w:p>
    <w:p w:rsidR="005928AF" w:rsidRDefault="00C913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负责航道管理的机构不依法履行本法规定的职责的，由其上级主管部门责令改正，对直接负责的主管人员和其他直接责任人员依法给予处分。</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违反本法规定，构成违反治安管理行为的，依法给予治安管理处罚；构成犯罪的，依法追究刑事责任。</w:t>
      </w:r>
    </w:p>
    <w:p w:rsidR="005928AF" w:rsidRDefault="005928AF">
      <w:pPr>
        <w:spacing w:line="560" w:lineRule="exact"/>
        <w:rPr>
          <w:rFonts w:eastAsia="宋体" w:cs="宋体"/>
          <w:kern w:val="0"/>
          <w:szCs w:val="32"/>
        </w:rPr>
      </w:pPr>
    </w:p>
    <w:p w:rsidR="005928AF" w:rsidRDefault="00C9130E">
      <w:pPr>
        <w:spacing w:line="560" w:lineRule="exact"/>
        <w:jc w:val="center"/>
        <w:rPr>
          <w:rFonts w:eastAsia="黑体" w:cs="黑体"/>
          <w:kern w:val="0"/>
          <w:szCs w:val="32"/>
        </w:rPr>
      </w:pPr>
      <w:r>
        <w:rPr>
          <w:rFonts w:eastAsia="黑体" w:cs="黑体" w:hint="eastAsia"/>
          <w:kern w:val="0"/>
          <w:szCs w:val="32"/>
        </w:rPr>
        <w:t>第七章　附则</w:t>
      </w:r>
    </w:p>
    <w:p w:rsidR="005928AF" w:rsidRDefault="005928AF">
      <w:pPr>
        <w:spacing w:line="560" w:lineRule="exact"/>
        <w:rPr>
          <w:rFonts w:eastAsia="宋体" w:cs="宋体"/>
          <w:kern w:val="0"/>
          <w:szCs w:val="32"/>
        </w:rPr>
      </w:pPr>
    </w:p>
    <w:p w:rsidR="005928AF" w:rsidRDefault="00C9130E">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进出军事港口、渔业港口的专用航道不适用本法。专用航道由专用部门管理。</w:t>
      </w:r>
    </w:p>
    <w:p w:rsidR="005928AF" w:rsidRDefault="00C913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本法自</w:t>
      </w:r>
      <w:r>
        <w:rPr>
          <w:rFonts w:cs="Arial" w:hint="eastAsia"/>
          <w:kern w:val="0"/>
          <w:szCs w:val="32"/>
        </w:rPr>
        <w:t>2015</w:t>
      </w:r>
      <w:r>
        <w:rPr>
          <w:rFonts w:cs="Arial" w:hint="eastAsia"/>
          <w:kern w:val="0"/>
          <w:szCs w:val="32"/>
        </w:rPr>
        <w:t>年</w:t>
      </w:r>
      <w:r>
        <w:rPr>
          <w:rFonts w:cs="Arial" w:hint="eastAsia"/>
          <w:kern w:val="0"/>
          <w:szCs w:val="32"/>
        </w:rPr>
        <w:t>3</w:t>
      </w:r>
      <w:r>
        <w:rPr>
          <w:rFonts w:cs="Arial" w:hint="eastAsia"/>
          <w:kern w:val="0"/>
          <w:szCs w:val="32"/>
        </w:rPr>
        <w:t>月</w:t>
      </w:r>
      <w:r>
        <w:rPr>
          <w:rFonts w:cs="Arial" w:hint="eastAsia"/>
          <w:kern w:val="0"/>
          <w:szCs w:val="32"/>
        </w:rPr>
        <w:t>1</w:t>
      </w:r>
      <w:r>
        <w:rPr>
          <w:rFonts w:cs="Arial" w:hint="eastAsia"/>
          <w:kern w:val="0"/>
          <w:szCs w:val="32"/>
        </w:rPr>
        <w:t>日起施行。</w:t>
      </w:r>
    </w:p>
    <w:sectPr w:rsidR="005928AF">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0E" w:rsidRDefault="00C9130E">
      <w:r>
        <w:separator/>
      </w:r>
    </w:p>
  </w:endnote>
  <w:endnote w:type="continuationSeparator" w:id="0">
    <w:p w:rsidR="00C9130E" w:rsidRDefault="00C9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8AF" w:rsidRDefault="00C9130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28AF" w:rsidRDefault="00C9130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767B">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928AF" w:rsidRDefault="00C9130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767B">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8AF" w:rsidRDefault="00C9130E">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28AF" w:rsidRDefault="00C9130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767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5928AF" w:rsidRDefault="00C9130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767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0E" w:rsidRDefault="00C9130E">
      <w:r>
        <w:separator/>
      </w:r>
    </w:p>
  </w:footnote>
  <w:footnote w:type="continuationSeparator" w:id="0">
    <w:p w:rsidR="00C9130E" w:rsidRDefault="00C91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8AF" w:rsidRDefault="005928AF">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8AF" w:rsidRDefault="005928AF">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4767B"/>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28AF"/>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9130E"/>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CCD7810"/>
    <w:rsid w:val="44BC0EEC"/>
    <w:rsid w:val="457B2892"/>
    <w:rsid w:val="482A39F4"/>
    <w:rsid w:val="56755F92"/>
    <w:rsid w:val="60BE44F5"/>
    <w:rsid w:val="653A70E2"/>
    <w:rsid w:val="6C1E17DE"/>
    <w:rsid w:val="6CB20AFD"/>
    <w:rsid w:val="6E8D2B3C"/>
    <w:rsid w:val="6FF03043"/>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4767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4767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01436">
      <w:bodyDiv w:val="1"/>
      <w:marLeft w:val="0"/>
      <w:marRight w:val="0"/>
      <w:marTop w:val="0"/>
      <w:marBottom w:val="0"/>
      <w:divBdr>
        <w:top w:val="none" w:sz="0" w:space="0" w:color="auto"/>
        <w:left w:val="none" w:sz="0" w:space="0" w:color="auto"/>
        <w:bottom w:val="none" w:sz="0" w:space="0" w:color="auto"/>
        <w:right w:val="none" w:sz="0" w:space="0" w:color="auto"/>
      </w:divBdr>
      <w:divsChild>
        <w:div w:id="871454774">
          <w:marLeft w:val="300"/>
          <w:marRight w:val="0"/>
          <w:marTop w:val="0"/>
          <w:marBottom w:val="0"/>
          <w:divBdr>
            <w:top w:val="none" w:sz="0" w:space="0" w:color="auto"/>
            <w:left w:val="none" w:sz="0" w:space="0" w:color="auto"/>
            <w:bottom w:val="none" w:sz="0" w:space="0" w:color="auto"/>
            <w:right w:val="none" w:sz="0" w:space="0" w:color="auto"/>
          </w:divBdr>
        </w:div>
        <w:div w:id="92426159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1019</Words>
  <Characters>5810</Characters>
  <Application>Microsoft Office Word</Application>
  <DocSecurity>0</DocSecurity>
  <Lines>48</Lines>
  <Paragraphs>13</Paragraphs>
  <ScaleCrop>false</ScaleCrop>
  <Company>Lenovo</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